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 </w:t>
      </w:r>
    </w:p>
    <w:tbl>
      <w:tblPr>
        <w:tblStyle w:val="Table1"/>
        <w:tblW w:w="901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6611"/>
        <w:tblGridChange w:id="0">
          <w:tblGrid>
            <w:gridCol w:w="2405"/>
            <w:gridCol w:w="66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Job Title: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Marketing &amp; Communications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Responsible to: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Chief Executive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Hours: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14 hours weekly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Salary:                   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£20,000-22,000 (Pro rata)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Benefits:  </w:t>
            </w:r>
          </w:p>
          <w:p w:rsidR="00000000" w:rsidDel="00000000" w:rsidP="00000000" w:rsidRDefault="00000000" w:rsidRPr="00000000" w14:paraId="0000000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Contract:                        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8% employer pension contribution, flexible working, 5 weeks annual leave and up to 4 weeks paid annual leave for carers (pro rata)</w:t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This post is offered on a permanent basis but is subject to funding after 2024.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Overview of the Post: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A fantastic opportunity to support the communications and marketing of a person-focussed local charity supporting disabled people, their family and carers to live independent lives and achieve their aspirations.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Working closely with colleagues across the organisation, the successful applicant will have an important role in developing and implementing the Charity’s marketing strategy and communications plan.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Support the development and implement the Charity’s Marketing Strategy and Communications Plan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Coordinate the design of promotional material and distribute online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Promote the charity’s products/services on various social media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Produce and maintain marketing copy for our website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Promote our products and services during events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Craft and send regular newsletters with company updates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Monitor corporate website and social media pages and address clients’ queries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Skills &amp; Competencies: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Excellent verbal and written communication skills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Good organisational and planning skills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Good attention to detail and accuracy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Demonstrable knowledge of adhering to brand guidelines.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Experience of working with a range of social media platforms for marketing purposes. </w:t>
        <w:tab/>
        <w:t xml:space="preserve">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Ability to work under pressure and to deadlines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team player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Good creative skills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Hands-on experience with web content management tools, e.g. WordPress or similar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Proficiency in MS Office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Experience with marketing campaigns on social media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Good presentation skills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Understanding of the role of the voluntary sector in meeting the needs of the local population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Understanding of user led organisations and DIAL’s ethos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Person Specification: Key Skills and requirements criteria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5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6"/>
        <w:gridCol w:w="1701"/>
        <w:gridCol w:w="1856"/>
        <w:tblGridChange w:id="0">
          <w:tblGrid>
            <w:gridCol w:w="6096"/>
            <w:gridCol w:w="1701"/>
            <w:gridCol w:w="1856"/>
          </w:tblGrid>
        </w:tblGridChange>
      </w:tblGrid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Experience and skills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Excellent digital skills, including experience of web content management systems such as WordPress.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Minimum one year’s experience in a marketing and communications / public relations / digital role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Strong organisational and administrative skills including excellent attention to detail and effective time management.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Strong interpersonal skills and ability to work with different teams.</w:t>
            </w:r>
          </w:p>
        </w:tc>
        <w:tc>
          <w:tcPr/>
          <w:p w:rsidR="00000000" w:rsidDel="00000000" w:rsidP="00000000" w:rsidRDefault="00000000" w:rsidRPr="00000000" w14:paraId="00000043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An articulate and confident communicator.</w:t>
            </w:r>
          </w:p>
        </w:tc>
        <w:tc>
          <w:tcPr/>
          <w:p w:rsidR="00000000" w:rsidDel="00000000" w:rsidP="00000000" w:rsidRDefault="00000000" w:rsidRPr="00000000" w14:paraId="00000046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Demonstrable experience of managing a diverse workload, being able to prioritise tasks and work under pressure.</w:t>
            </w:r>
          </w:p>
        </w:tc>
        <w:tc>
          <w:tcPr/>
          <w:p w:rsidR="00000000" w:rsidDel="00000000" w:rsidP="00000000" w:rsidRDefault="00000000" w:rsidRPr="00000000" w14:paraId="00000049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Experience of working in the charity sector.</w:t>
            </w:r>
          </w:p>
        </w:tc>
        <w:tc>
          <w:tcPr/>
          <w:p w:rsidR="00000000" w:rsidDel="00000000" w:rsidP="00000000" w:rsidRDefault="00000000" w:rsidRPr="00000000" w14:paraId="0000004C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An understanding of DIAL’s ethos and how it links with our branding</w:t>
            </w:r>
          </w:p>
        </w:tc>
        <w:tc>
          <w:tcPr/>
          <w:p w:rsidR="00000000" w:rsidDel="00000000" w:rsidP="00000000" w:rsidRDefault="00000000" w:rsidRPr="00000000" w14:paraId="0000004F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Personal Characteristics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 strong team player with positive ‘can-do’ attitude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under pressure and be comfortable with working to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Team Player who works collaboratively and flexibly to achieve outcomes and is keen to add value to the organisation’s culture and ethos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-403218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19" name="image1.png"/>
          <a:graphic>
            <a:graphicData uri="http://schemas.openxmlformats.org/drawingml/2006/picture">
              <pic:pic>
                <pic:nvPicPr>
                  <pic:cNvPr descr="C:\Users\Acer Owner\Documents\DIAL-logo-RGB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-31741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20" name="image2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•"/>
      <w:lvlJc w:val="left"/>
      <w:pPr>
        <w:ind w:left="1080" w:hanging="72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15F8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315F8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45E2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45E2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45E2E"/>
    <w:rPr>
      <w:b w:val="1"/>
      <w:bCs w:val="1"/>
      <w:sz w:val="20"/>
      <w:szCs w:val="20"/>
    </w:r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6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7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bkM0vNIHWCUllexeZqDRx+YA5A==">AMUW2mVdLIsgyccE8g9+WfyS4rQM+0KJOILXZGGWLLwrHDsQd9Gg742EXvewCKjhvuLo88mPpl/TCFpXlBIHvAbABak1lEtM5R8DA/8GbZEFb1JOkNoMVZY8TOcP4cAqEmQ8tjbVAUSN1Q8unvcsGTWA1IjXl8m1Og==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2022-07-12T11:23:00Z</dcterms:created>
  <dc:creator>Debbie</dc:creator>
</cp:coreProperties>
</file>